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222222"/>
          <w:u w:val="single"/>
        </w:rPr>
      </w:pPr>
      <w:r>
        <w:rPr>
          <w:color w:val="222222"/>
          <w:u w:val="single"/>
        </w:rPr>
        <w:t>Master Colorimétrie en Dermopigmentation</w:t>
      </w:r>
    </w:p>
    <w:p>
      <w:pPr>
        <w:pStyle w:val="Normal"/>
        <w:rPr>
          <w:color w:val="222222"/>
          <w:sz w:val="19"/>
          <w:szCs w:val="19"/>
        </w:rPr>
      </w:pPr>
      <w:r>
        <w:rPr>
          <w:color w:val="222222"/>
          <w:sz w:val="19"/>
          <w:szCs w:val="19"/>
        </w:rPr>
      </w:r>
    </w:p>
    <w:p>
      <w:pPr>
        <w:pStyle w:val="Normal"/>
        <w:jc w:val="both"/>
        <w:rPr>
          <w:color w:val="222222"/>
          <w:sz w:val="19"/>
          <w:szCs w:val="19"/>
        </w:rPr>
      </w:pPr>
      <w:r>
        <w:rPr>
          <w:color w:val="222222"/>
          <w:sz w:val="19"/>
          <w:szCs w:val="19"/>
        </w:rPr>
        <w:t>Ce cours de Colorimétrie est destiné à toute personne pratiquant la dermopigmentation soit pratiquant le Maquillage permanent, la dermopigmentation paramédicale ou le tatouage.</w:t>
      </w:r>
    </w:p>
    <w:p>
      <w:pPr>
        <w:pStyle w:val="Normal"/>
        <w:jc w:val="both"/>
        <w:rPr>
          <w:color w:val="222222"/>
          <w:sz w:val="19"/>
          <w:szCs w:val="19"/>
        </w:rPr>
      </w:pPr>
      <w:r>
        <w:rPr>
          <w:color w:val="222222"/>
          <w:sz w:val="19"/>
          <w:szCs w:val="19"/>
        </w:rPr>
      </w:r>
    </w:p>
    <w:p>
      <w:pPr>
        <w:pStyle w:val="Normal"/>
        <w:jc w:val="both"/>
        <w:rPr>
          <w:color w:val="222222"/>
          <w:sz w:val="19"/>
          <w:szCs w:val="19"/>
        </w:rPr>
      </w:pPr>
      <w:r>
        <w:rPr>
          <w:color w:val="222222"/>
          <w:sz w:val="19"/>
          <w:szCs w:val="19"/>
        </w:rPr>
        <w:t>Les</w:t>
      </w:r>
      <w:r>
        <w:rPr>
          <w:b/>
          <w:color w:val="222222"/>
          <w:sz w:val="19"/>
          <w:szCs w:val="19"/>
        </w:rPr>
        <w:t xml:space="preserve"> objectifs de la formation</w:t>
      </w:r>
      <w:r>
        <w:rPr>
          <w:color w:val="222222"/>
          <w:sz w:val="19"/>
          <w:szCs w:val="19"/>
        </w:rPr>
        <w:t xml:space="preserve"> sont multiples :</w:t>
      </w:r>
    </w:p>
    <w:p>
      <w:pPr>
        <w:pStyle w:val="Normal"/>
        <w:jc w:val="both"/>
        <w:rPr>
          <w:color w:val="222222"/>
          <w:sz w:val="19"/>
          <w:szCs w:val="19"/>
        </w:rPr>
      </w:pPr>
      <w:r>
        <w:rPr>
          <w:color w:val="222222"/>
          <w:sz w:val="19"/>
          <w:szCs w:val="19"/>
        </w:rPr>
      </w:r>
    </w:p>
    <w:p>
      <w:pPr>
        <w:pStyle w:val="Normal"/>
        <w:jc w:val="both"/>
        <w:rPr>
          <w:color w:val="222222"/>
          <w:sz w:val="19"/>
          <w:szCs w:val="19"/>
        </w:rPr>
      </w:pPr>
      <w:r>
        <w:rPr>
          <w:color w:val="222222"/>
          <w:sz w:val="19"/>
          <w:szCs w:val="19"/>
        </w:rPr>
        <w:t>- Acquérir les connaissances de Colorimétrie afin de choisir les pigments nécessaire à la dermopigmentation en fonction des couleurs de peaux de la patientèle et éviter un résultat présentant une couleur inadéquate</w:t>
      </w:r>
    </w:p>
    <w:p>
      <w:pPr>
        <w:pStyle w:val="Normal"/>
        <w:jc w:val="both"/>
        <w:rPr>
          <w:color w:val="222222"/>
          <w:sz w:val="19"/>
          <w:szCs w:val="19"/>
        </w:rPr>
      </w:pPr>
      <w:r>
        <w:rPr>
          <w:color w:val="222222"/>
          <w:sz w:val="19"/>
          <w:szCs w:val="19"/>
        </w:rPr>
        <w:t>- Acquérir les connaissances des différents types de peaux, analyse des différentes carnations et des couleurs sous-jacentes de peaux.</w:t>
      </w:r>
    </w:p>
    <w:p>
      <w:pPr>
        <w:pStyle w:val="Normal"/>
        <w:jc w:val="both"/>
        <w:rPr>
          <w:color w:val="222222"/>
          <w:sz w:val="19"/>
          <w:szCs w:val="19"/>
        </w:rPr>
      </w:pPr>
      <w:r>
        <w:rPr>
          <w:color w:val="222222"/>
          <w:sz w:val="19"/>
          <w:szCs w:val="19"/>
        </w:rPr>
        <w:t>- Acquérir les connaissance de base en biologie et chimie de la peau : morphologie, processus de cicatrisation et contre-indications à la dermopigmentation</w:t>
      </w:r>
    </w:p>
    <w:p>
      <w:pPr>
        <w:pStyle w:val="Normal"/>
        <w:jc w:val="both"/>
        <w:rPr>
          <w:color w:val="222222"/>
          <w:sz w:val="19"/>
          <w:szCs w:val="19"/>
        </w:rPr>
      </w:pPr>
      <w:r>
        <w:rPr>
          <w:color w:val="222222"/>
          <w:sz w:val="19"/>
          <w:szCs w:val="19"/>
        </w:rPr>
        <w:t>- Connaître la composition exacte des produits et des pigments utilisés, et leur usage pour savoir exactement ce qui est utilisé lors de la dermopigmentation et connaître les différentes législations européennes en vigueur concernant les pigments et leur composition</w:t>
      </w:r>
    </w:p>
    <w:p>
      <w:pPr>
        <w:pStyle w:val="Normal"/>
        <w:jc w:val="both"/>
        <w:rPr>
          <w:color w:val="222222"/>
          <w:sz w:val="19"/>
          <w:szCs w:val="19"/>
        </w:rPr>
      </w:pPr>
      <w:r>
        <w:rPr>
          <w:color w:val="222222"/>
          <w:sz w:val="19"/>
          <w:szCs w:val="19"/>
        </w:rPr>
        <w:t>- Savoir corriger et neutraliser des couleurs inadéquates dans la peau après une dermopigmentation malheureuse</w:t>
      </w:r>
    </w:p>
    <w:p>
      <w:pPr>
        <w:pStyle w:val="Normal"/>
        <w:jc w:val="both"/>
        <w:rPr>
          <w:color w:val="222222"/>
          <w:sz w:val="19"/>
          <w:szCs w:val="19"/>
        </w:rPr>
      </w:pPr>
      <w:r>
        <w:rPr>
          <w:color w:val="222222"/>
          <w:sz w:val="19"/>
          <w:szCs w:val="19"/>
        </w:rPr>
      </w:r>
    </w:p>
    <w:p>
      <w:pPr>
        <w:pStyle w:val="Normal"/>
        <w:jc w:val="both"/>
        <w:rPr>
          <w:color w:val="222222"/>
          <w:sz w:val="19"/>
          <w:szCs w:val="19"/>
        </w:rPr>
      </w:pPr>
      <w:r>
        <w:rPr>
          <w:color w:val="222222"/>
          <w:sz w:val="19"/>
          <w:szCs w:val="19"/>
        </w:rPr>
      </w:r>
    </w:p>
    <w:p>
      <w:pPr>
        <w:pStyle w:val="Normal"/>
        <w:jc w:val="both"/>
        <w:rPr>
          <w:color w:val="222222"/>
          <w:sz w:val="19"/>
          <w:szCs w:val="19"/>
        </w:rPr>
      </w:pPr>
      <w:r>
        <w:rPr>
          <w:b/>
          <w:color w:val="222222"/>
          <w:sz w:val="19"/>
          <w:szCs w:val="19"/>
        </w:rPr>
        <w:t>Outils utilisés</w:t>
      </w:r>
      <w:r>
        <w:rPr>
          <w:color w:val="222222"/>
          <w:sz w:val="19"/>
          <w:szCs w:val="19"/>
        </w:rPr>
        <w:t xml:space="preserve"> : </w:t>
      </w:r>
    </w:p>
    <w:p>
      <w:pPr>
        <w:pStyle w:val="Normal"/>
        <w:jc w:val="both"/>
        <w:rPr>
          <w:color w:val="222222"/>
          <w:sz w:val="19"/>
          <w:szCs w:val="19"/>
        </w:rPr>
      </w:pPr>
      <w:r>
        <w:rPr>
          <w:color w:val="222222"/>
          <w:sz w:val="19"/>
          <w:szCs w:val="19"/>
        </w:rPr>
        <w:t>- Syllabus de 52 pages et annexe Colour Index</w:t>
      </w:r>
    </w:p>
    <w:p>
      <w:pPr>
        <w:pStyle w:val="Normal"/>
        <w:jc w:val="both"/>
        <w:rPr>
          <w:color w:val="222222"/>
          <w:sz w:val="19"/>
          <w:szCs w:val="19"/>
        </w:rPr>
      </w:pPr>
      <w:r>
        <w:rPr>
          <w:color w:val="222222"/>
          <w:sz w:val="19"/>
          <w:szCs w:val="19"/>
        </w:rPr>
        <w:t>- Atelier couleur : peinture, marqueurs et roues chromatiques</w:t>
      </w:r>
    </w:p>
    <w:p>
      <w:pPr>
        <w:pStyle w:val="Normal"/>
        <w:jc w:val="both"/>
        <w:rPr>
          <w:color w:val="222222"/>
          <w:sz w:val="19"/>
          <w:szCs w:val="19"/>
        </w:rPr>
      </w:pPr>
      <w:r>
        <w:rPr>
          <w:color w:val="222222"/>
          <w:sz w:val="19"/>
          <w:szCs w:val="19"/>
        </w:rPr>
        <w:t>- Test des pigments sur peaux, par zone</w:t>
      </w:r>
    </w:p>
    <w:p>
      <w:pPr>
        <w:pStyle w:val="Normal"/>
        <w:jc w:val="both"/>
        <w:rPr>
          <w:color w:val="222222"/>
          <w:sz w:val="19"/>
          <w:szCs w:val="19"/>
        </w:rPr>
      </w:pPr>
      <w:r>
        <w:rPr>
          <w:color w:val="222222"/>
          <w:sz w:val="19"/>
          <w:szCs w:val="19"/>
        </w:rPr>
        <w:t>- Analyse sur modèles vivant pour les études de cas</w:t>
      </w:r>
    </w:p>
    <w:p>
      <w:pPr>
        <w:pStyle w:val="Normal"/>
        <w:jc w:val="both"/>
        <w:rPr>
          <w:color w:val="222222"/>
          <w:sz w:val="19"/>
          <w:szCs w:val="19"/>
        </w:rPr>
      </w:pPr>
      <w:r>
        <w:rPr>
          <w:color w:val="222222"/>
          <w:sz w:val="19"/>
          <w:szCs w:val="19"/>
        </w:rPr>
        <w:t>- Les élèves viennent avec leurs pigments pour apprendre à les utiliser</w:t>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t>Matin</w:t>
      </w:r>
    </w:p>
    <w:p>
      <w:pPr>
        <w:pStyle w:val="Normal"/>
        <w:numPr>
          <w:ilvl w:val="0"/>
          <w:numId w:val="3"/>
        </w:numPr>
        <w:ind w:left="720" w:hanging="360"/>
        <w:rPr>
          <w:color w:val="222222"/>
          <w:sz w:val="19"/>
          <w:szCs w:val="19"/>
          <w:u w:val="none"/>
        </w:rPr>
      </w:pPr>
      <w:r>
        <w:rPr>
          <w:color w:val="222222"/>
          <w:sz w:val="19"/>
          <w:szCs w:val="19"/>
        </w:rPr>
        <w:t>La perception de la couleur</w:t>
      </w:r>
    </w:p>
    <w:p>
      <w:pPr>
        <w:pStyle w:val="Normal"/>
        <w:numPr>
          <w:ilvl w:val="0"/>
          <w:numId w:val="3"/>
        </w:numPr>
        <w:ind w:left="720" w:hanging="360"/>
        <w:rPr>
          <w:color w:val="222222"/>
          <w:sz w:val="19"/>
          <w:szCs w:val="19"/>
          <w:u w:val="none"/>
        </w:rPr>
      </w:pPr>
      <w:r>
        <w:rPr>
          <w:color w:val="222222"/>
          <w:sz w:val="19"/>
          <w:szCs w:val="19"/>
        </w:rPr>
        <w:t>Le classement des couleurs</w:t>
      </w:r>
    </w:p>
    <w:p>
      <w:pPr>
        <w:pStyle w:val="Normal"/>
        <w:numPr>
          <w:ilvl w:val="0"/>
          <w:numId w:val="3"/>
        </w:numPr>
        <w:ind w:left="720" w:hanging="360"/>
        <w:rPr>
          <w:color w:val="222222"/>
          <w:sz w:val="19"/>
          <w:szCs w:val="19"/>
          <w:u w:val="none"/>
        </w:rPr>
      </w:pPr>
      <w:r>
        <w:rPr>
          <w:color w:val="222222"/>
          <w:sz w:val="19"/>
          <w:szCs w:val="19"/>
        </w:rPr>
        <w:t>La composition des pigments de dermopigmentation</w:t>
      </w:r>
    </w:p>
    <w:p>
      <w:pPr>
        <w:pStyle w:val="Normal"/>
        <w:numPr>
          <w:ilvl w:val="0"/>
          <w:numId w:val="3"/>
        </w:numPr>
        <w:ind w:left="720" w:hanging="360"/>
        <w:rPr>
          <w:color w:val="222222"/>
          <w:sz w:val="19"/>
          <w:szCs w:val="19"/>
          <w:u w:val="none"/>
        </w:rPr>
      </w:pPr>
      <w:r>
        <w:rPr>
          <w:color w:val="222222"/>
          <w:sz w:val="19"/>
          <w:szCs w:val="19"/>
        </w:rPr>
        <w:t>La peau : morphologie et biologie</w:t>
      </w:r>
    </w:p>
    <w:p>
      <w:pPr>
        <w:pStyle w:val="Normal"/>
        <w:numPr>
          <w:ilvl w:val="0"/>
          <w:numId w:val="3"/>
        </w:numPr>
        <w:ind w:left="720" w:hanging="360"/>
        <w:rPr>
          <w:color w:val="222222"/>
          <w:sz w:val="19"/>
          <w:szCs w:val="19"/>
        </w:rPr>
      </w:pPr>
      <w:r>
        <w:rPr>
          <w:color w:val="222222"/>
          <w:sz w:val="19"/>
          <w:szCs w:val="19"/>
        </w:rPr>
        <w:t>La pigmentation dans la peau</w:t>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t>Après-midi</w:t>
      </w:r>
    </w:p>
    <w:p>
      <w:pPr>
        <w:pStyle w:val="Normal"/>
        <w:rPr>
          <w:color w:val="222222"/>
          <w:sz w:val="19"/>
          <w:szCs w:val="19"/>
        </w:rPr>
      </w:pPr>
      <w:r>
        <w:rPr>
          <w:color w:val="222222"/>
          <w:sz w:val="19"/>
          <w:szCs w:val="19"/>
        </w:rPr>
      </w:r>
    </w:p>
    <w:p>
      <w:pPr>
        <w:pStyle w:val="Normal"/>
        <w:numPr>
          <w:ilvl w:val="0"/>
          <w:numId w:val="1"/>
        </w:numPr>
        <w:ind w:left="720" w:hanging="360"/>
        <w:rPr>
          <w:color w:val="222222"/>
          <w:sz w:val="19"/>
          <w:szCs w:val="19"/>
          <w:u w:val="none"/>
        </w:rPr>
      </w:pPr>
      <w:r>
        <w:rPr>
          <w:color w:val="222222"/>
          <w:sz w:val="19"/>
          <w:szCs w:val="19"/>
        </w:rPr>
        <w:t>Peaux chaudes et peaux froides</w:t>
      </w:r>
    </w:p>
    <w:p>
      <w:pPr>
        <w:pStyle w:val="Normal"/>
        <w:numPr>
          <w:ilvl w:val="0"/>
          <w:numId w:val="1"/>
        </w:numPr>
        <w:ind w:left="720" w:hanging="360"/>
        <w:rPr>
          <w:color w:val="222222"/>
          <w:sz w:val="19"/>
          <w:szCs w:val="19"/>
          <w:u w:val="none"/>
        </w:rPr>
      </w:pPr>
      <w:r>
        <w:rPr>
          <w:color w:val="222222"/>
          <w:sz w:val="19"/>
          <w:szCs w:val="19"/>
        </w:rPr>
        <w:t>Tonalités sous-jacentes de la peau</w:t>
      </w:r>
    </w:p>
    <w:p>
      <w:pPr>
        <w:pStyle w:val="Normal"/>
        <w:numPr>
          <w:ilvl w:val="0"/>
          <w:numId w:val="1"/>
        </w:numPr>
        <w:ind w:left="720" w:hanging="360"/>
        <w:rPr>
          <w:color w:val="222222"/>
          <w:sz w:val="19"/>
          <w:szCs w:val="19"/>
          <w:u w:val="none"/>
        </w:rPr>
      </w:pPr>
      <w:r>
        <w:rPr>
          <w:color w:val="222222"/>
          <w:sz w:val="19"/>
          <w:szCs w:val="19"/>
        </w:rPr>
        <w:t>Le pigment et la peau : La troisième couleur</w:t>
      </w:r>
    </w:p>
    <w:p>
      <w:pPr>
        <w:pStyle w:val="Normal"/>
        <w:numPr>
          <w:ilvl w:val="0"/>
          <w:numId w:val="1"/>
        </w:numPr>
        <w:ind w:left="720" w:hanging="360"/>
        <w:rPr>
          <w:color w:val="222222"/>
          <w:sz w:val="19"/>
          <w:szCs w:val="19"/>
          <w:u w:val="none"/>
        </w:rPr>
      </w:pPr>
      <w:r>
        <w:rPr>
          <w:color w:val="222222"/>
          <w:sz w:val="19"/>
          <w:szCs w:val="19"/>
        </w:rPr>
        <w:t>Neutralisation et correction</w:t>
      </w:r>
    </w:p>
    <w:p>
      <w:pPr>
        <w:pStyle w:val="Normal"/>
        <w:numPr>
          <w:ilvl w:val="0"/>
          <w:numId w:val="1"/>
        </w:numPr>
        <w:ind w:left="720" w:hanging="360"/>
        <w:rPr>
          <w:color w:val="222222"/>
          <w:sz w:val="19"/>
          <w:szCs w:val="19"/>
          <w:u w:val="none"/>
        </w:rPr>
      </w:pPr>
      <w:r>
        <w:rPr>
          <w:color w:val="222222"/>
          <w:sz w:val="19"/>
          <w:szCs w:val="19"/>
        </w:rPr>
        <w:t>Testing couleurs</w:t>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r>
    </w:p>
    <w:p>
      <w:pPr>
        <w:pStyle w:val="Normal"/>
        <w:rPr>
          <w:color w:val="222222"/>
          <w:sz w:val="19"/>
          <w:szCs w:val="19"/>
        </w:rPr>
      </w:pPr>
      <w:r>
        <w:rPr>
          <w:color w:val="222222"/>
          <w:sz w:val="19"/>
          <w:szCs w:val="19"/>
        </w:rPr>
      </w:r>
    </w:p>
    <w:p>
      <w:pPr>
        <w:pStyle w:val="Normal"/>
        <w:spacing w:lineRule="auto" w:line="240"/>
        <w:jc w:val="center"/>
        <w:rPr>
          <w:rFonts w:ascii="Cambria" w:hAnsi="Cambria" w:eastAsia="Cambria" w:cs="Cambria"/>
          <w:color w:val="0B5394"/>
          <w:sz w:val="36"/>
          <w:szCs w:val="36"/>
        </w:rPr>
      </w:pPr>
      <w:r>
        <w:rPr>
          <w:rFonts w:eastAsia="Cambria" w:cs="Cambria" w:ascii="Cambria" w:hAnsi="Cambria"/>
          <w:color w:val="0B5394"/>
          <w:sz w:val="36"/>
          <w:szCs w:val="36"/>
        </w:rPr>
        <w:t>II</w:t>
      </w:r>
    </w:p>
    <w:p>
      <w:pPr>
        <w:pStyle w:val="Normal"/>
        <w:jc w:val="center"/>
        <w:rPr>
          <w:rFonts w:ascii="Cambria" w:hAnsi="Cambria" w:eastAsia="Cambria" w:cs="Cambria"/>
          <w:color w:val="0B5394"/>
        </w:rPr>
      </w:pPr>
      <w:hyperlink r:id="rId2">
        <w:r>
          <w:rPr>
            <w:rFonts w:eastAsia="Cambria" w:cs="Cambria" w:ascii="Cambria" w:hAnsi="Cambria"/>
            <w:color w:val="0B5394"/>
          </w:rPr>
          <w:t>Isabelle Paelinck</w:t>
        </w:r>
      </w:hyperlink>
    </w:p>
    <w:p>
      <w:pPr>
        <w:pStyle w:val="Normal"/>
        <w:spacing w:lineRule="auto" w:line="240"/>
        <w:jc w:val="center"/>
        <w:rPr/>
      </w:pPr>
      <w:hyperlink r:id="rId3">
        <w:r>
          <w:rPr>
            <w:rStyle w:val="LienInternet"/>
            <w:rFonts w:eastAsia="Cambria" w:cs="Cambria" w:ascii="Cambria" w:hAnsi="Cambria"/>
            <w:color w:val="0B5394"/>
            <w:u w:val="single"/>
          </w:rPr>
          <w:t>isabelle.paelinck@gmail.com</w:t>
        </w:r>
      </w:hyperlink>
    </w:p>
    <w:p>
      <w:pPr>
        <w:pStyle w:val="Normal"/>
        <w:jc w:val="center"/>
        <w:rPr/>
      </w:pPr>
      <w:hyperlink r:id="rId4">
        <w:r>
          <w:rPr>
            <w:rStyle w:val="LienInternet"/>
            <w:rFonts w:eastAsia="Cambria" w:cs="Cambria" w:ascii="Cambria" w:hAnsi="Cambria"/>
            <w:color w:val="0B5394"/>
            <w:u w:val="single"/>
          </w:rPr>
          <w:t>www.isabelle-paelinck.be</w:t>
        </w:r>
      </w:hyperlink>
    </w:p>
    <w:p>
      <w:pPr>
        <w:pStyle w:val="Normal"/>
        <w:jc w:val="center"/>
        <w:rPr>
          <w:rFonts w:ascii="Cambria" w:hAnsi="Cambria" w:eastAsia="Cambria" w:cs="Cambria"/>
        </w:rPr>
      </w:pPr>
      <w:r>
        <w:rPr>
          <w:rFonts w:eastAsia="Cambria" w:cs="Cambria" w:ascii="Cambria" w:hAnsi="Cambria"/>
        </w:rPr>
      </w:r>
    </w:p>
    <w:p>
      <w:pPr>
        <w:pStyle w:val="Normal"/>
        <w:jc w:val="center"/>
        <w:rPr>
          <w:rFonts w:ascii="Cambria" w:hAnsi="Cambria" w:eastAsia="Cambria" w:cs="Cambria"/>
        </w:rPr>
      </w:pPr>
      <w:r>
        <w:rPr/>
        <w:drawing>
          <wp:inline distT="0" distB="0" distL="0" distR="0">
            <wp:extent cx="1165860" cy="133794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5"/>
                    <a:stretch>
                      <a:fillRect/>
                    </a:stretch>
                  </pic:blipFill>
                  <pic:spPr bwMode="auto">
                    <a:xfrm>
                      <a:off x="0" y="0"/>
                      <a:ext cx="1165860" cy="1337945"/>
                    </a:xfrm>
                    <a:prstGeom prst="rect">
                      <a:avLst/>
                    </a:prstGeom>
                  </pic:spPr>
                </pic:pic>
              </a:graphicData>
            </a:graphic>
          </wp:inline>
        </w:drawing>
      </w:r>
    </w:p>
    <w:p>
      <w:pPr>
        <w:pStyle w:val="Normal"/>
        <w:jc w:val="center"/>
        <w:rPr>
          <w:rFonts w:ascii="Cambria" w:hAnsi="Cambria" w:eastAsia="Cambria" w:cs="Cambria"/>
        </w:rPr>
      </w:pPr>
      <w:r>
        <w:rPr>
          <w:rFonts w:eastAsia="Cambria" w:cs="Cambria" w:ascii="Cambria" w:hAnsi="Cambria"/>
        </w:rPr>
      </w:r>
    </w:p>
    <w:p>
      <w:pPr>
        <w:pStyle w:val="Normal"/>
        <w:jc w:val="center"/>
        <w:rPr>
          <w:rFonts w:ascii="Cambria" w:hAnsi="Cambria" w:eastAsia="Cambria" w:cs="Cambria"/>
        </w:rPr>
      </w:pPr>
      <w:r>
        <w:rPr>
          <w:rFonts w:eastAsia="Cambria" w:cs="Cambria" w:ascii="Cambria" w:hAnsi="Cambria"/>
        </w:rPr>
      </w:r>
    </w:p>
    <w:p>
      <w:pPr>
        <w:pStyle w:val="Normal"/>
        <w:jc w:val="center"/>
        <w:rPr>
          <w:rFonts w:ascii="Cambria" w:hAnsi="Cambria" w:eastAsia="Cambria" w:cs="Cambria"/>
        </w:rPr>
      </w:pPr>
      <w:r>
        <w:rPr>
          <w:rFonts w:eastAsia="Cambria" w:cs="Cambria" w:ascii="Cambria" w:hAnsi="Cambria"/>
        </w:rPr>
        <w:t>Mes formations en Dermopigmentation</w:t>
      </w:r>
    </w:p>
    <w:p>
      <w:pPr>
        <w:pStyle w:val="Normal"/>
        <w:jc w:val="center"/>
        <w:rPr>
          <w:rFonts w:ascii="Cambria" w:hAnsi="Cambria" w:eastAsia="Cambria" w:cs="Cambria"/>
        </w:rPr>
      </w:pPr>
      <w:r>
        <w:rPr>
          <w:rFonts w:eastAsia="Cambria" w:cs="Cambria" w:ascii="Cambria" w:hAnsi="Cambria"/>
        </w:rPr>
      </w:r>
    </w:p>
    <w:p>
      <w:pPr>
        <w:pStyle w:val="Normal"/>
        <w:numPr>
          <w:ilvl w:val="0"/>
          <w:numId w:val="2"/>
        </w:numPr>
        <w:spacing w:lineRule="auto" w:line="276"/>
        <w:ind w:left="720" w:hanging="360"/>
        <w:jc w:val="center"/>
        <w:rPr>
          <w:rFonts w:ascii="Cambria" w:hAnsi="Cambria" w:eastAsia="Cambria" w:cs="Cambria"/>
        </w:rPr>
      </w:pPr>
      <w:r>
        <w:rPr>
          <w:rFonts w:eastAsia="Cambria" w:cs="Cambria" w:ascii="Cambria" w:hAnsi="Cambria"/>
        </w:rPr>
        <w:t>Master en Arts Plastiques - Académie des Beaux-Arts de la Ville de Bruxelles</w:t>
      </w:r>
    </w:p>
    <w:p>
      <w:pPr>
        <w:pStyle w:val="Normal"/>
        <w:numPr>
          <w:ilvl w:val="0"/>
          <w:numId w:val="2"/>
        </w:numPr>
        <w:spacing w:lineRule="auto" w:line="276"/>
        <w:ind w:left="720" w:hanging="360"/>
        <w:jc w:val="center"/>
        <w:rPr>
          <w:rFonts w:ascii="Cambria" w:hAnsi="Cambria" w:eastAsia="Cambria" w:cs="Cambria"/>
        </w:rPr>
      </w:pPr>
      <w:r>
        <w:rPr>
          <w:rFonts w:eastAsia="Cambria" w:cs="Cambria" w:ascii="Cambria" w:hAnsi="Cambria"/>
        </w:rPr>
        <w:t>Formation de base Maquillage semi permanent - Make Up 4 You - Bruxelles</w:t>
      </w:r>
    </w:p>
    <w:p>
      <w:pPr>
        <w:pStyle w:val="Normal"/>
        <w:numPr>
          <w:ilvl w:val="0"/>
          <w:numId w:val="2"/>
        </w:numPr>
        <w:spacing w:lineRule="auto" w:line="276"/>
        <w:ind w:left="720" w:hanging="360"/>
        <w:jc w:val="center"/>
        <w:rPr>
          <w:rFonts w:ascii="Cambria" w:hAnsi="Cambria" w:eastAsia="Cambria" w:cs="Cambria"/>
        </w:rPr>
      </w:pPr>
      <w:r>
        <w:rPr>
          <w:rFonts w:eastAsia="Cambria" w:cs="Cambria" w:ascii="Cambria" w:hAnsi="Cambria"/>
        </w:rPr>
        <w:t>Master en dermopigmentation paramédicale - Ina Benoun - Israel</w:t>
      </w:r>
    </w:p>
    <w:p>
      <w:pPr>
        <w:pStyle w:val="Normal"/>
        <w:numPr>
          <w:ilvl w:val="0"/>
          <w:numId w:val="2"/>
        </w:numPr>
        <w:spacing w:lineRule="auto" w:line="276"/>
        <w:ind w:left="720" w:hanging="360"/>
        <w:jc w:val="center"/>
        <w:rPr>
          <w:rFonts w:ascii="Cambria" w:hAnsi="Cambria" w:eastAsia="Cambria" w:cs="Cambria"/>
        </w:rPr>
      </w:pPr>
      <w:r>
        <w:rPr>
          <w:rFonts w:eastAsia="Cambria" w:cs="Cambria" w:ascii="Cambria" w:hAnsi="Cambria"/>
        </w:rPr>
        <w:t>Master en dermopigmentation paramédicale - Sanja Grbic - Serbie</w:t>
      </w:r>
    </w:p>
    <w:p>
      <w:pPr>
        <w:pStyle w:val="Normal"/>
        <w:numPr>
          <w:ilvl w:val="0"/>
          <w:numId w:val="2"/>
        </w:numPr>
        <w:spacing w:lineRule="auto" w:line="276"/>
        <w:ind w:left="720" w:hanging="360"/>
        <w:jc w:val="center"/>
        <w:rPr>
          <w:rFonts w:ascii="Cambria" w:hAnsi="Cambria" w:eastAsia="Cambria" w:cs="Cambria"/>
        </w:rPr>
      </w:pPr>
      <w:r>
        <w:rPr>
          <w:rFonts w:eastAsia="Cambria" w:cs="Cambria" w:ascii="Cambria" w:hAnsi="Cambria"/>
        </w:rPr>
        <w:t>Master 3 zones - MPK Beauty - Liège</w:t>
      </w:r>
    </w:p>
    <w:p>
      <w:pPr>
        <w:pStyle w:val="Normal"/>
        <w:numPr>
          <w:ilvl w:val="0"/>
          <w:numId w:val="2"/>
        </w:numPr>
        <w:spacing w:lineRule="auto" w:line="276"/>
        <w:ind w:left="720" w:hanging="360"/>
        <w:jc w:val="center"/>
        <w:rPr>
          <w:rFonts w:ascii="Cambria" w:hAnsi="Cambria" w:eastAsia="Cambria" w:cs="Cambria"/>
        </w:rPr>
      </w:pPr>
      <w:r>
        <w:rPr>
          <w:rFonts w:eastAsia="Cambria" w:cs="Cambria" w:ascii="Cambria" w:hAnsi="Cambria"/>
        </w:rPr>
        <w:t>Certificat Sécurité et Hygiène - Mons</w:t>
      </w:r>
    </w:p>
    <w:p>
      <w:pPr>
        <w:pStyle w:val="Normal"/>
        <w:jc w:val="center"/>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19"/>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19"/>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fr-FR" w:eastAsia="zh-CN" w:bidi="hi-IN"/>
    </w:rPr>
  </w:style>
  <w:style w:type="paragraph" w:styleId="Titre1">
    <w:name w:val="Heading 1"/>
    <w:basedOn w:val="Normal1"/>
    <w:next w:val="Normal"/>
    <w:qFormat/>
    <w:pPr>
      <w:keepNext w:val="true"/>
      <w:keepLines/>
      <w:spacing w:lineRule="auto" w:line="240" w:before="400" w:after="120"/>
    </w:pPr>
    <w:rPr>
      <w:sz w:val="40"/>
      <w:szCs w:val="40"/>
    </w:rPr>
  </w:style>
  <w:style w:type="paragraph" w:styleId="Titre2">
    <w:name w:val="Heading 2"/>
    <w:basedOn w:val="Normal1"/>
    <w:next w:val="Normal"/>
    <w:qFormat/>
    <w:pPr>
      <w:keepNext w:val="true"/>
      <w:keepLines/>
      <w:spacing w:lineRule="auto" w:line="240" w:before="360" w:after="120"/>
    </w:pPr>
    <w:rPr>
      <w:b w:val="false"/>
      <w:sz w:val="32"/>
      <w:szCs w:val="32"/>
    </w:rPr>
  </w:style>
  <w:style w:type="paragraph" w:styleId="Titre3">
    <w:name w:val="Heading 3"/>
    <w:basedOn w:val="Normal1"/>
    <w:next w:val="Normal"/>
    <w:qFormat/>
    <w:pPr>
      <w:keepNext w:val="true"/>
      <w:keepLines/>
      <w:spacing w:lineRule="auto" w:line="240" w:before="320" w:after="80"/>
    </w:pPr>
    <w:rPr>
      <w:b w:val="false"/>
      <w:color w:val="434343"/>
      <w:sz w:val="28"/>
      <w:szCs w:val="28"/>
    </w:rPr>
  </w:style>
  <w:style w:type="paragraph" w:styleId="Titre4">
    <w:name w:val="Heading 4"/>
    <w:basedOn w:val="Normal1"/>
    <w:next w:val="Normal"/>
    <w:qFormat/>
    <w:pPr>
      <w:keepNext w:val="true"/>
      <w:keepLines/>
      <w:spacing w:lineRule="auto" w:line="240" w:before="280" w:after="80"/>
    </w:pPr>
    <w:rPr>
      <w:color w:val="666666"/>
      <w:sz w:val="24"/>
      <w:szCs w:val="24"/>
    </w:rPr>
  </w:style>
  <w:style w:type="paragraph" w:styleId="Titre5">
    <w:name w:val="Heading 5"/>
    <w:basedOn w:val="Normal1"/>
    <w:next w:val="Normal"/>
    <w:qFormat/>
    <w:pPr>
      <w:keepNext w:val="true"/>
      <w:keepLines/>
      <w:spacing w:lineRule="auto" w:line="240" w:before="240" w:after="80"/>
    </w:pPr>
    <w:rPr>
      <w:color w:val="666666"/>
      <w:sz w:val="22"/>
      <w:szCs w:val="22"/>
    </w:rPr>
  </w:style>
  <w:style w:type="paragraph" w:styleId="Titre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sz w:val="19"/>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mbria" w:hAnsi="Cambria"/>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sz w:val="19"/>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sz w:val="22"/>
      <w:szCs w:val="22"/>
      <w:lang w:val="fr-FR" w:eastAsia="zh-CN" w:bidi="hi-IN"/>
    </w:rPr>
  </w:style>
  <w:style w:type="paragraph" w:styleId="Titreprincipal">
    <w:name w:val="Title"/>
    <w:basedOn w:val="Normal1"/>
    <w:next w:val="Normal"/>
    <w:qFormat/>
    <w:pPr>
      <w:keepNext w:val="true"/>
      <w:keepLines/>
      <w:spacing w:lineRule="auto" w:line="240" w:before="0" w:after="60"/>
    </w:pPr>
    <w:rPr>
      <w:sz w:val="52"/>
      <w:szCs w:val="52"/>
    </w:rPr>
  </w:style>
  <w:style w:type="paragraph" w:styleId="Soustitr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55isabelle.paelinck@gmail.com" TargetMode="External"/><Relationship Id="rId3" Type="http://schemas.openxmlformats.org/officeDocument/2006/relationships/hyperlink" Target="mailto:55isabelle.paelinck@gmail.com" TargetMode="External"/><Relationship Id="rId4" Type="http://schemas.openxmlformats.org/officeDocument/2006/relationships/hyperlink" Target="http://www.isabelle-paelinck.be/" TargetMode="External"/><Relationship Id="rId5" Type="http://schemas.openxmlformats.org/officeDocument/2006/relationships/image" Target="media/image1.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LibreOffice/5.3.6.1$Windows_X86_64 LibreOffice_project/686f202eff87ef707079aeb7f485847613344eb7</Application>
  <Pages>2</Pages>
  <Words>349</Words>
  <Characters>1923</Characters>
  <CharactersWithSpaces>2220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2020-08-16T17:06:21Z</dcterms:modified>
  <cp:revision>1</cp:revision>
  <dc:subject/>
  <dc:title/>
</cp:coreProperties>
</file>